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numPr>
          <w:numId w:val="0"/>
        </w:numPr>
        <w:tabs>
          <w:tab w:val="left" w:pos="360"/>
        </w:tabs>
        <w:spacing w:line="360" w:lineRule="auto"/>
        <w:jc w:val="left"/>
        <w:outlineLvl w:val="1"/>
        <w:rPr>
          <w:rFonts w:hint="eastAsia" w:ascii="宋体" w:hAnsi="宋体"/>
          <w:sz w:val="24"/>
        </w:rPr>
      </w:pPr>
      <w:bookmarkStart w:id="3" w:name="_GoBack"/>
      <w:bookmarkEnd w:id="3"/>
      <w:bookmarkStart w:id="0" w:name="_Toc466292967"/>
      <w:bookmarkStart w:id="1" w:name="_Toc3595"/>
      <w:bookmarkStart w:id="2" w:name="_Toc466896317"/>
      <w:r>
        <w:rPr>
          <w:rFonts w:hint="eastAsia" w:ascii="宋体" w:hAnsi="宋体"/>
          <w:sz w:val="24"/>
        </w:rPr>
        <w:t>综合评分明细表</w:t>
      </w:r>
      <w:bookmarkEnd w:id="0"/>
      <w:bookmarkEnd w:id="1"/>
      <w:bookmarkEnd w:id="2"/>
    </w:p>
    <w:tbl>
      <w:tblPr>
        <w:tblStyle w:val="3"/>
        <w:tblW w:w="94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69"/>
        <w:gridCol w:w="787"/>
        <w:gridCol w:w="5285"/>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7"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序号</w:t>
            </w:r>
          </w:p>
        </w:tc>
        <w:tc>
          <w:tcPr>
            <w:tcW w:w="11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评审因数及权重</w:t>
            </w: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分值</w:t>
            </w:r>
          </w:p>
        </w:tc>
        <w:tc>
          <w:tcPr>
            <w:tcW w:w="528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评分依据</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1</w:t>
            </w:r>
          </w:p>
        </w:tc>
        <w:tc>
          <w:tcPr>
            <w:tcW w:w="11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报价</w:t>
            </w:r>
          </w:p>
        </w:tc>
        <w:tc>
          <w:tcPr>
            <w:tcW w:w="78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30分</w:t>
            </w:r>
          </w:p>
        </w:tc>
        <w:tc>
          <w:tcPr>
            <w:tcW w:w="528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以本次最低有效投标报价为基准价，投标报价得分=（基准价/投标报价）×30，最多得30分。</w:t>
            </w:r>
          </w:p>
          <w:p>
            <w:pPr>
              <w:spacing w:line="360" w:lineRule="auto"/>
              <w:rPr>
                <w:rFonts w:hint="eastAsia" w:ascii="宋体" w:hAnsi="宋体" w:cs="宋体"/>
                <w:szCs w:val="21"/>
              </w:rPr>
            </w:pPr>
            <w:r>
              <w:rPr>
                <w:rFonts w:hint="eastAsia" w:ascii="宋体" w:hAnsi="宋体" w:cs="宋体"/>
                <w:szCs w:val="21"/>
              </w:rPr>
              <w:t>根据财库[2011]181号文，对小型和微型企业产品的价格给予6%的扣除，用扣除后的价格参与评审。根据川财采[2015]33号文，对失信行为投标人给予6%/次的报价累加加成，用加成后的价格参与评审，若加成后的报价超过预算的，视为无效投标。</w:t>
            </w:r>
          </w:p>
        </w:tc>
        <w:tc>
          <w:tcPr>
            <w:tcW w:w="1527"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2</w:t>
            </w:r>
          </w:p>
        </w:tc>
        <w:tc>
          <w:tcPr>
            <w:tcW w:w="11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技术指标及商务要求</w:t>
            </w: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21分</w:t>
            </w:r>
          </w:p>
        </w:tc>
        <w:tc>
          <w:tcPr>
            <w:tcW w:w="5285" w:type="dxa"/>
            <w:tcBorders>
              <w:top w:val="single" w:color="auto" w:sz="4" w:space="0"/>
              <w:left w:val="single" w:color="auto" w:sz="4" w:space="0"/>
              <w:bottom w:val="single" w:color="auto" w:sz="4" w:space="0"/>
              <w:right w:val="single" w:color="auto" w:sz="4" w:space="0"/>
            </w:tcBorders>
            <w:vAlign w:val="center"/>
          </w:tcPr>
          <w:p>
            <w:pPr>
              <w:numPr>
                <w:ilvl w:val="0"/>
                <w:numId w:val="1"/>
              </w:numPr>
              <w:snapToGrid w:val="0"/>
              <w:spacing w:line="360" w:lineRule="auto"/>
              <w:rPr>
                <w:rFonts w:hint="eastAsia" w:ascii="宋体" w:hAnsi="宋体" w:cs="宋体"/>
                <w:szCs w:val="21"/>
              </w:rPr>
            </w:pPr>
            <w:r>
              <w:rPr>
                <w:rFonts w:hint="eastAsia" w:ascii="宋体" w:hAnsi="宋体" w:cs="宋体"/>
                <w:szCs w:val="21"/>
              </w:rPr>
              <w:t>技术参数、商务要求完全满足招标文件要求没有负偏离的得基础分8分；与招标文件要求有一项非实质性负偏离扣2分，扣完基础分为止；</w:t>
            </w:r>
          </w:p>
          <w:p>
            <w:pPr>
              <w:numPr>
                <w:ilvl w:val="0"/>
                <w:numId w:val="1"/>
              </w:numPr>
              <w:snapToGrid w:val="0"/>
              <w:spacing w:line="360" w:lineRule="auto"/>
              <w:rPr>
                <w:rFonts w:hint="eastAsia" w:ascii="宋体" w:hAnsi="宋体" w:cs="宋体"/>
                <w:szCs w:val="21"/>
              </w:rPr>
            </w:pPr>
            <w:r>
              <w:rPr>
                <w:rFonts w:hint="eastAsia" w:ascii="宋体" w:hAnsi="宋体" w:cs="宋体"/>
                <w:szCs w:val="21"/>
              </w:rPr>
              <w:t>产品技术参数、配置综合性能、制作工艺、材质等各项指标优于招标文件技术要求的一项可加0.5分，最多加1分；</w:t>
            </w:r>
          </w:p>
          <w:p>
            <w:pPr>
              <w:numPr>
                <w:ilvl w:val="0"/>
                <w:numId w:val="1"/>
              </w:numPr>
              <w:snapToGrid w:val="0"/>
              <w:spacing w:line="360" w:lineRule="auto"/>
              <w:rPr>
                <w:rFonts w:hint="eastAsia" w:ascii="宋体" w:hAnsi="宋体" w:cs="宋体"/>
                <w:szCs w:val="21"/>
              </w:rPr>
            </w:pPr>
            <w:r>
              <w:rPr>
                <w:rFonts w:hint="eastAsia" w:ascii="宋体" w:hAnsi="宋体" w:cs="宋体"/>
                <w:szCs w:val="21"/>
              </w:rPr>
              <w:t>室外器材为同一品牌并全部通过经国家认可的室外健身器材质量认证机构（即国体认证NSCC）认证的得8分（需提供国体认证证书和获证产品描述材料、含产品照片），缺少一件器材认证证书的得4分；缺少二件器材认证证书的得1分；缺少三件及以上器材认证证书的得0分；（所投产品需为同一品牌；非器材生产厂家参加投标的，需提供产品认证证书及产品生产厂家针对本项目授权书原件时有效）</w:t>
            </w:r>
          </w:p>
          <w:p>
            <w:pPr>
              <w:numPr>
                <w:ilvl w:val="0"/>
                <w:numId w:val="1"/>
              </w:numPr>
              <w:snapToGrid w:val="0"/>
              <w:spacing w:line="360" w:lineRule="auto"/>
              <w:rPr>
                <w:rFonts w:hint="eastAsia" w:ascii="宋体" w:hAnsi="宋体" w:cs="宋体"/>
                <w:szCs w:val="21"/>
              </w:rPr>
            </w:pPr>
            <w:r>
              <w:rPr>
                <w:rFonts w:hint="eastAsia" w:ascii="宋体" w:hAnsi="宋体" w:cs="宋体"/>
                <w:szCs w:val="21"/>
              </w:rPr>
              <w:t>室外器材为同一品牌并全部通过国家体育用品质量监督检验中心依据GB19272-2011《健身器材  室外健身器材通用安全要求》检验合格，并取得检测报告的得4分，缺少一件器材检测报告的得2分；缺少二件器材检测报告的得1分；缺少三件及以上器材检测报告的得0分；（非器材生产厂家参加投标的，需提供产品生产厂家针对本项目授权书原件时有效）</w:t>
            </w:r>
          </w:p>
        </w:tc>
        <w:tc>
          <w:tcPr>
            <w:tcW w:w="152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cs="宋体"/>
                <w:szCs w:val="21"/>
              </w:rPr>
            </w:pPr>
            <w:r>
              <w:rPr>
                <w:rFonts w:hint="eastAsia" w:ascii="宋体" w:hAnsi="宋体" w:cs="宋体"/>
                <w:szCs w:val="21"/>
              </w:rPr>
              <w:t>提供检测报告和认证证书复印件，加盖投标人公章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661" w:type="dxa"/>
            <w:tcBorders>
              <w:top w:val="single" w:color="auto" w:sz="4" w:space="0"/>
              <w:left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3</w:t>
            </w:r>
          </w:p>
        </w:tc>
        <w:tc>
          <w:tcPr>
            <w:tcW w:w="1169" w:type="dxa"/>
            <w:tcBorders>
              <w:top w:val="single" w:color="auto" w:sz="4" w:space="0"/>
              <w:left w:val="single" w:color="auto" w:sz="4" w:space="0"/>
              <w:right w:val="single" w:color="auto" w:sz="4" w:space="0"/>
            </w:tcBorders>
            <w:vAlign w:val="center"/>
          </w:tcPr>
          <w:p>
            <w:pPr>
              <w:snapToGrid w:val="0"/>
              <w:spacing w:line="360" w:lineRule="auto"/>
              <w:rPr>
                <w:rFonts w:hint="eastAsia" w:ascii="宋体" w:hAnsi="宋体" w:cs="宋体"/>
                <w:snapToGrid w:val="0"/>
                <w:szCs w:val="21"/>
              </w:rPr>
            </w:pPr>
            <w:r>
              <w:rPr>
                <w:rFonts w:hint="eastAsia" w:ascii="宋体" w:hAnsi="宋体" w:cs="宋体"/>
                <w:snapToGrid w:val="0"/>
                <w:szCs w:val="21"/>
              </w:rPr>
              <w:t>信誉及荣誉</w:t>
            </w:r>
          </w:p>
        </w:tc>
        <w:tc>
          <w:tcPr>
            <w:tcW w:w="787" w:type="dxa"/>
            <w:tcBorders>
              <w:top w:val="single" w:color="auto" w:sz="4" w:space="0"/>
              <w:left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2分</w:t>
            </w:r>
          </w:p>
        </w:tc>
        <w:tc>
          <w:tcPr>
            <w:tcW w:w="528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hint="eastAsia" w:ascii="宋体" w:hAnsi="宋体" w:cs="宋体"/>
                <w:szCs w:val="21"/>
              </w:rPr>
            </w:pPr>
            <w:r>
              <w:rPr>
                <w:rFonts w:hint="eastAsia" w:ascii="宋体" w:hAnsi="宋体" w:cs="宋体"/>
                <w:szCs w:val="21"/>
              </w:rPr>
              <w:t>投标人获得ISO14001环保认证、OHSAS18001职业健康安全管理体系认证、ISO9001质量管理体系认证得2分，缺少一项得0分；</w:t>
            </w:r>
          </w:p>
        </w:tc>
        <w:tc>
          <w:tcPr>
            <w:tcW w:w="152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cs="宋体"/>
                <w:szCs w:val="21"/>
              </w:rPr>
            </w:pPr>
            <w:r>
              <w:rPr>
                <w:rFonts w:hint="eastAsia" w:ascii="宋体" w:hAnsi="宋体" w:cs="宋体"/>
                <w:szCs w:val="21"/>
              </w:rPr>
              <w:t xml:space="preserve">需提供有效期内的证明文件复印件，加盖投标人公章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661" w:type="dxa"/>
            <w:tcBorders>
              <w:top w:val="single" w:color="auto" w:sz="4" w:space="0"/>
              <w:left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4</w:t>
            </w:r>
          </w:p>
        </w:tc>
        <w:tc>
          <w:tcPr>
            <w:tcW w:w="1169" w:type="dxa"/>
            <w:tcBorders>
              <w:top w:val="single" w:color="auto" w:sz="4" w:space="0"/>
              <w:left w:val="single" w:color="auto" w:sz="4" w:space="0"/>
              <w:right w:val="single" w:color="auto" w:sz="4" w:space="0"/>
            </w:tcBorders>
            <w:vAlign w:val="center"/>
          </w:tcPr>
          <w:p>
            <w:pPr>
              <w:snapToGrid w:val="0"/>
              <w:spacing w:line="360" w:lineRule="auto"/>
              <w:rPr>
                <w:rFonts w:hint="eastAsia" w:ascii="宋体" w:hAnsi="宋体" w:cs="宋体"/>
                <w:snapToGrid w:val="0"/>
                <w:szCs w:val="21"/>
              </w:rPr>
            </w:pPr>
            <w:r>
              <w:rPr>
                <w:rFonts w:hint="eastAsia" w:ascii="宋体" w:hAnsi="宋体" w:cs="宋体"/>
                <w:snapToGrid w:val="0"/>
                <w:szCs w:val="21"/>
              </w:rPr>
              <w:t>技术方案、专业服务方案</w:t>
            </w:r>
          </w:p>
        </w:tc>
        <w:tc>
          <w:tcPr>
            <w:tcW w:w="787" w:type="dxa"/>
            <w:tcBorders>
              <w:top w:val="single" w:color="auto" w:sz="4" w:space="0"/>
              <w:left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26分</w:t>
            </w:r>
          </w:p>
        </w:tc>
        <w:tc>
          <w:tcPr>
            <w:tcW w:w="5285" w:type="dxa"/>
            <w:tcBorders>
              <w:top w:val="single" w:color="auto" w:sz="4" w:space="0"/>
              <w:left w:val="single" w:color="auto" w:sz="4" w:space="0"/>
              <w:bottom w:val="single" w:color="auto" w:sz="4" w:space="0"/>
              <w:right w:val="single" w:color="auto" w:sz="4" w:space="0"/>
            </w:tcBorders>
            <w:vAlign w:val="center"/>
          </w:tcPr>
          <w:p>
            <w:pPr>
              <w:pStyle w:val="4"/>
              <w:numPr>
                <w:ilvl w:val="0"/>
                <w:numId w:val="2"/>
              </w:numPr>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器材安装技术方案；根据投标人提供的安装方案，对本项目前期所了解信息的完整性、准确性编制出具有切实可行的器材安装方案，根据器材在不同区域地理条件下布局方案的合理性、科学性、易使用性进行综合评审，第一名得14分，第二名得6分、第三名得3分，第四名得1分，第四名以后的均得0分（排名不能并列）；</w:t>
            </w:r>
          </w:p>
          <w:p>
            <w:pPr>
              <w:pStyle w:val="4"/>
              <w:numPr>
                <w:ilvl w:val="0"/>
                <w:numId w:val="2"/>
              </w:numPr>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投标人拟针对本项目后期为器材采购单位或器材安装点位的不同受益单位实施相关服务内容进行专业技术人员配备，所配备的专业技术人员至少不低于2名；配备的专业技术人员为2名的得2分，每增加1名专业技术人员加2分，本项最高分为6分；（需提供投标单位为相关专业技术人员所购买在开标截止时间前连续3个月的社保凭证材料复印件及政府行政主管部门所颁发的体育类二级及以上专业资格证书复印件）</w:t>
            </w:r>
          </w:p>
          <w:p>
            <w:pPr>
              <w:pStyle w:val="4"/>
              <w:numPr>
                <w:ilvl w:val="0"/>
                <w:numId w:val="2"/>
              </w:numPr>
              <w:snapToGrid w:val="0"/>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对投标人编写的适合全区（2016—2020年）全民健身实施计划的科学性、合理性、前瞻性、全面性等方面进行综合评定，第一名得6分，第二名得3分、第三名得1分，第四名得0.5分，第四名以后的均得0分（排名不能并列）；</w:t>
            </w:r>
          </w:p>
        </w:tc>
        <w:tc>
          <w:tcPr>
            <w:tcW w:w="152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cs="宋体"/>
                <w:szCs w:val="21"/>
              </w:rPr>
            </w:pPr>
            <w:r>
              <w:rPr>
                <w:rFonts w:hint="eastAsia" w:ascii="宋体" w:hAnsi="宋体" w:cs="宋体"/>
                <w:szCs w:val="21"/>
              </w:rPr>
              <w:t>技术人员资格证书查验原件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5</w:t>
            </w:r>
          </w:p>
        </w:tc>
        <w:tc>
          <w:tcPr>
            <w:tcW w:w="11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hint="eastAsia" w:ascii="宋体" w:hAnsi="宋体" w:cs="宋体"/>
                <w:snapToGrid w:val="0"/>
                <w:szCs w:val="21"/>
              </w:rPr>
            </w:pPr>
            <w:r>
              <w:rPr>
                <w:rFonts w:hint="eastAsia" w:ascii="宋体" w:hAnsi="宋体" w:cs="宋体"/>
                <w:snapToGrid w:val="0"/>
                <w:szCs w:val="21"/>
              </w:rPr>
              <w:t>业绩和履约情况</w:t>
            </w: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3分</w:t>
            </w:r>
          </w:p>
        </w:tc>
        <w:tc>
          <w:tcPr>
            <w:tcW w:w="528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提供投标人或所投产品制造商2014年以来的类似规模的产品中标业绩3个及以上的得3分，类似规模的产品中标业绩2个的得2分，类似规模的产品中标业绩1个的得1分，无业绩的不得分。（非器材生产厂家参加投标的，需提供产品生产厂家针对本项目授权书原件时有效）</w:t>
            </w:r>
          </w:p>
        </w:tc>
        <w:tc>
          <w:tcPr>
            <w:tcW w:w="152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cs="宋体"/>
                <w:szCs w:val="21"/>
              </w:rPr>
            </w:pPr>
            <w:r>
              <w:rPr>
                <w:rFonts w:hint="eastAsia" w:ascii="宋体" w:hAnsi="宋体" w:cs="宋体"/>
                <w:szCs w:val="21"/>
              </w:rPr>
              <w:t>以合同及中标通知书并带验收合格证明书为准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6</w:t>
            </w:r>
          </w:p>
        </w:tc>
        <w:tc>
          <w:tcPr>
            <w:tcW w:w="11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售后服务</w:t>
            </w: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3分</w:t>
            </w:r>
          </w:p>
        </w:tc>
        <w:tc>
          <w:tcPr>
            <w:tcW w:w="528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对投标企业的售后服务方案、售后服务承诺，人员培训，质量保证期内的维修承诺条款有明确描述的，明确承诺投标产品的保修时间，保修期内的保修内容与范围，维修响应时间进行综合评定，第一名得3分，第二名得2分，第三名得1分，第三名以后的均得0分（排名不能并列）；</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left"/>
              <w:rPr>
                <w:rFonts w:hint="eastAsia" w:ascii="宋体" w:hAnsi="宋体" w:cs="宋体"/>
                <w:szCs w:val="21"/>
              </w:rPr>
            </w:pPr>
            <w:r>
              <w:rPr>
                <w:rFonts w:hint="eastAsia" w:ascii="宋体" w:hAnsi="宋体" w:cs="宋体"/>
                <w:szCs w:val="21"/>
              </w:rPr>
              <w:t>以投标文件为准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2"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7</w:t>
            </w:r>
          </w:p>
        </w:tc>
        <w:tc>
          <w:tcPr>
            <w:tcW w:w="11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安全保险</w:t>
            </w: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3分</w:t>
            </w:r>
          </w:p>
        </w:tc>
        <w:tc>
          <w:tcPr>
            <w:tcW w:w="528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hint="eastAsia" w:ascii="宋体" w:hAnsi="宋体" w:cs="宋体"/>
                <w:szCs w:val="21"/>
              </w:rPr>
            </w:pPr>
            <w:r>
              <w:rPr>
                <w:rFonts w:hint="eastAsia" w:ascii="宋体" w:hAnsi="宋体" w:cs="宋体"/>
                <w:szCs w:val="21"/>
              </w:rPr>
              <w:t>产品保险3分：</w:t>
            </w:r>
          </w:p>
          <w:p>
            <w:pPr>
              <w:snapToGrid w:val="0"/>
              <w:spacing w:line="360" w:lineRule="auto"/>
              <w:rPr>
                <w:rFonts w:hint="eastAsia" w:ascii="宋体" w:hAnsi="宋体" w:cs="宋体"/>
                <w:szCs w:val="21"/>
              </w:rPr>
            </w:pPr>
            <w:r>
              <w:rPr>
                <w:rFonts w:hint="eastAsia" w:ascii="宋体" w:hAnsi="宋体" w:cs="宋体"/>
                <w:szCs w:val="21"/>
              </w:rPr>
              <w:t>1、所投产品制造商购买产品责任险并且累计赔付金额在3000万元及以上得2分；累计赔付金额在2000万-3000万的得1分；累计赔付金额在1000万-2000万的得0.5分，1000万以下的不得分；</w:t>
            </w:r>
          </w:p>
          <w:p>
            <w:pPr>
              <w:snapToGrid w:val="0"/>
              <w:spacing w:line="360" w:lineRule="auto"/>
              <w:rPr>
                <w:rFonts w:hint="eastAsia" w:ascii="宋体" w:hAnsi="宋体" w:cs="宋体"/>
                <w:szCs w:val="21"/>
              </w:rPr>
            </w:pPr>
            <w:r>
              <w:rPr>
                <w:rFonts w:hint="eastAsia" w:ascii="宋体" w:hAnsi="宋体" w:cs="宋体"/>
                <w:szCs w:val="21"/>
              </w:rPr>
              <w:t>2、所投产品制造商购买了公众责任险、意外伤害险、产品质量险齐全的得1分</w:t>
            </w:r>
          </w:p>
          <w:p>
            <w:pPr>
              <w:snapToGrid w:val="0"/>
              <w:spacing w:line="360" w:lineRule="auto"/>
              <w:rPr>
                <w:rFonts w:hint="eastAsia" w:ascii="宋体" w:hAnsi="宋体" w:cs="宋体"/>
                <w:szCs w:val="21"/>
              </w:rPr>
            </w:pPr>
            <w:r>
              <w:rPr>
                <w:rFonts w:hint="eastAsia" w:ascii="宋体" w:hAnsi="宋体" w:cs="宋体"/>
                <w:szCs w:val="21"/>
              </w:rPr>
              <w:t>（以上4类保险缺一项该项得0分）（非器材生产厂家参加投标的，需提供产品生产厂家针对本项目授权书原件时有效）</w:t>
            </w:r>
          </w:p>
        </w:tc>
        <w:tc>
          <w:tcPr>
            <w:tcW w:w="152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cs="宋体"/>
                <w:szCs w:val="21"/>
              </w:rPr>
            </w:pPr>
            <w:r>
              <w:rPr>
                <w:rFonts w:hint="eastAsia" w:ascii="宋体" w:hAnsi="宋体" w:cs="宋体"/>
                <w:szCs w:val="21"/>
              </w:rPr>
              <w:t>均需提供证明文件（有效期内保险凭证）复印件，加盖投标人公章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8</w:t>
            </w:r>
          </w:p>
        </w:tc>
        <w:tc>
          <w:tcPr>
            <w:tcW w:w="11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kern w:val="0"/>
                <w:szCs w:val="21"/>
              </w:rPr>
              <w:t>节能环保</w:t>
            </w: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1分</w:t>
            </w:r>
          </w:p>
        </w:tc>
        <w:tc>
          <w:tcPr>
            <w:tcW w:w="528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s="宋体"/>
                <w:szCs w:val="21"/>
              </w:rPr>
            </w:pPr>
            <w:r>
              <w:rPr>
                <w:rFonts w:hint="eastAsia" w:ascii="宋体" w:hAnsi="宋体" w:cs="宋体"/>
                <w:szCs w:val="21"/>
              </w:rPr>
              <w:t xml:space="preserve">所投产品制造商获得中国环境标志Ⅱ型产品认证证书（GB/T24021-2001idtISO14021:1999）得1分。（非器材生产厂家参加投标的，需提供产品生产厂家针对本项目授权书原件时有效） </w:t>
            </w:r>
          </w:p>
        </w:tc>
        <w:tc>
          <w:tcPr>
            <w:tcW w:w="1527"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cs="宋体"/>
                <w:szCs w:val="21"/>
              </w:rPr>
            </w:pPr>
            <w:r>
              <w:rPr>
                <w:rFonts w:hint="eastAsia" w:ascii="宋体" w:hAnsi="宋体" w:cs="宋体"/>
                <w:szCs w:val="21"/>
              </w:rPr>
              <w:t>需提供证书复印件，加盖投标人公章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9</w:t>
            </w:r>
          </w:p>
        </w:tc>
        <w:tc>
          <w:tcPr>
            <w:tcW w:w="11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kern w:val="0"/>
                <w:szCs w:val="21"/>
              </w:rPr>
            </w:pPr>
            <w:r>
              <w:rPr>
                <w:rFonts w:hint="eastAsia" w:ascii="宋体" w:hAnsi="宋体" w:cs="宋体"/>
                <w:kern w:val="0"/>
                <w:szCs w:val="21"/>
              </w:rPr>
              <w:t>样品</w:t>
            </w: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10分</w:t>
            </w:r>
          </w:p>
        </w:tc>
        <w:tc>
          <w:tcPr>
            <w:tcW w:w="528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hint="eastAsia" w:ascii="宋体" w:hAnsi="宋体" w:cs="宋体"/>
                <w:b/>
                <w:szCs w:val="21"/>
              </w:rPr>
            </w:pPr>
            <w:r>
              <w:rPr>
                <w:rFonts w:hint="eastAsia" w:ascii="宋体" w:hAnsi="宋体" w:cs="宋体"/>
                <w:szCs w:val="21"/>
              </w:rPr>
              <w:t>投标人需提供扭腰器、二位室外漫步机、健骑机的小样各一份，根据投标人所提供样品的关键特性、材质、结构、工艺、外观及色彩等方面综合评定：第一名得10分，第二名得4分，第三名得2分, 第四名得1分。样品提供不全或不提供的不得分；（排名不能并列）。</w:t>
            </w:r>
          </w:p>
        </w:tc>
        <w:tc>
          <w:tcPr>
            <w:tcW w:w="1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1"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10</w:t>
            </w:r>
          </w:p>
        </w:tc>
        <w:tc>
          <w:tcPr>
            <w:tcW w:w="116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投标文件的规范性</w:t>
            </w:r>
          </w:p>
        </w:tc>
        <w:tc>
          <w:tcPr>
            <w:tcW w:w="78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1分</w:t>
            </w:r>
          </w:p>
        </w:tc>
        <w:tc>
          <w:tcPr>
            <w:tcW w:w="528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hint="eastAsia" w:ascii="宋体" w:hAnsi="宋体" w:cs="宋体"/>
                <w:snapToGrid w:val="0"/>
                <w:szCs w:val="21"/>
              </w:rPr>
            </w:pPr>
            <w:r>
              <w:rPr>
                <w:rFonts w:hint="eastAsia" w:ascii="宋体" w:hAnsi="宋体" w:cs="宋体"/>
                <w:kern w:val="0"/>
                <w:szCs w:val="21"/>
              </w:rPr>
              <w:t>投标文件制作规范，没有细微偏差情形的得1分；有一项细微偏差扣0.5分，直至该项分值扣完为止。</w:t>
            </w:r>
          </w:p>
        </w:tc>
        <w:tc>
          <w:tcPr>
            <w:tcW w:w="1527"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cs="宋体"/>
                <w:snapToGrid w:val="0"/>
                <w:szCs w:val="21"/>
              </w:rPr>
            </w:pPr>
            <w:r>
              <w:rPr>
                <w:rFonts w:hint="eastAsia" w:ascii="宋体" w:hAnsi="宋体" w:cs="宋体"/>
                <w:snapToGrid w:val="0"/>
                <w:szCs w:val="21"/>
              </w:rPr>
              <w:t>/</w:t>
            </w:r>
          </w:p>
        </w:tc>
      </w:tr>
    </w:tbl>
    <w:p>
      <w:pPr>
        <w:spacing w:line="360" w:lineRule="auto"/>
        <w:jc w:val="left"/>
        <w:rPr>
          <w:rFonts w:hint="eastAsia" w:ascii="宋体" w:hAnsi="宋体"/>
          <w:sz w:val="24"/>
        </w:rPr>
      </w:pPr>
      <w:r>
        <w:rPr>
          <w:rFonts w:hint="eastAsia" w:ascii="宋体" w:hAnsi="宋体"/>
          <w:sz w:val="24"/>
        </w:rPr>
        <w:t>注：1、评分的取值按四舍五入法，保留小数点后两位。</w:t>
      </w:r>
    </w:p>
    <w:p>
      <w:pPr>
        <w:spacing w:line="360" w:lineRule="auto"/>
        <w:ind w:firstLine="480" w:firstLineChars="200"/>
        <w:jc w:val="left"/>
        <w:rPr>
          <w:rFonts w:hint="eastAsia" w:ascii="宋体" w:hAnsi="宋体"/>
          <w:sz w:val="24"/>
        </w:rPr>
      </w:pPr>
      <w:r>
        <w:rPr>
          <w:rFonts w:hint="eastAsia" w:ascii="宋体" w:hAnsi="宋体"/>
          <w:sz w:val="24"/>
        </w:rPr>
        <w:t>2、评审专家应对每个投标人每项评分因素给出详细的评审说明（报价评分项除外）。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Arial Narrow">
    <w:altName w:val="Arial"/>
    <w:panose1 w:val="020B0606020202030204"/>
    <w:charset w:val="00"/>
    <w:family w:val="swiss"/>
    <w:pitch w:val="default"/>
    <w:sig w:usb0="00000000"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Times New (W1)">
    <w:altName w:val="Times New Roman"/>
    <w:panose1 w:val="00000000000000000000"/>
    <w:charset w:val="00"/>
    <w:family w:val="auto"/>
    <w:pitch w:val="default"/>
    <w:sig w:usb0="00000000" w:usb1="00000000" w:usb2="00000008" w:usb3="00000000" w:csb0="000001FF" w:csb1="00000000"/>
  </w:font>
  <w:font w:name="华文仿宋">
    <w:altName w:val="仿宋"/>
    <w:panose1 w:val="02010600040101010101"/>
    <w:charset w:val="86"/>
    <w:family w:val="auto"/>
    <w:pitch w:val="default"/>
    <w:sig w:usb0="00000000" w:usb1="00000000" w:usb2="00000010" w:usb3="00000000" w:csb0="0004009F" w:csb1="00000000"/>
  </w:font>
  <w:font w:name="隶书">
    <w:altName w:val="微软雅黑"/>
    <w:panose1 w:val="02010509060101010101"/>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H Yg 2gj">
    <w:altName w:val="宋体"/>
    <w:panose1 w:val="00000000000000000000"/>
    <w:charset w:val="86"/>
    <w:family w:val="swiss"/>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宋体-方正超大字符集">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C639D7"/>
    <w:multiLevelType w:val="multilevel"/>
    <w:tmpl w:val="64C639D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81B7E57"/>
    <w:multiLevelType w:val="multilevel"/>
    <w:tmpl w:val="781B7E5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2E1C44"/>
    <w:rsid w:val="792E1C4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List Paragraph"/>
    <w:basedOn w:val="1"/>
    <w:uiPriority w:val="0"/>
    <w:pPr>
      <w:widowControl/>
      <w:spacing w:after="200" w:afterLines="0" w:line="276" w:lineRule="auto"/>
      <w:ind w:left="720"/>
      <w:contextualSpacing/>
      <w:jc w:val="left"/>
    </w:pPr>
    <w:rPr>
      <w:kern w:val="0"/>
      <w:sz w:val="2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2017-01-25T02:31:00Z</dcterms:created>
  <dc:creator>Administrator</dc:creator>
  <cp:lastModifiedBy>Administrator</cp:lastModifiedBy>
  <dcterms:modified xsi:type="dcterms:W3CDTF">2017-01-25T02:32:19Z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